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/>
          <w:bCs/>
        </w:rPr>
      </w:pPr>
      <w:r>
        <w:t xml:space="preserve">            </w:t>
      </w:r>
      <w:r>
        <w:rPr>
          <w:b/>
          <w:bCs/>
        </w:rPr>
        <w:t xml:space="preserve">ТЕХНИЧЕСКИЕ ХАРАКТЕРИСТИКИ</w:t>
      </w:r>
      <w:r>
        <w:rPr>
          <w:b/>
          <w:bCs/>
        </w:rPr>
      </w:r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172075" cy="3848100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63984094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172074" cy="38480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07.2pt;height:303.0pt;mso-wrap-distance-left:0.0pt;mso-wrap-distance-top:0.0pt;mso-wrap-distance-right:0.0pt;mso-wrap-distance-bottom:0.0pt;" stroked="false">
                <v:path textboxrect="0,0,0,0"/>
                <v:imagedata r:id="rId8" o:title=""/>
              </v:shape>
            </w:pict>
          </mc:Fallback>
        </mc:AlternateContent>
        <w:br/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155"/>
        <w:gridCol w:w="4155"/>
      </w:tblGrid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Постоянная мощность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100 кВт / 125 кВА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Резервная мощность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110 кВт / 137,5 кВА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Напряжение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230 / 400 В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Частота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50 Гц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Количество фаз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трехфазная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Первичный дизельный двигатель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RICARDO R6105AZLD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Синхронный генератор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Z274D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Контроллер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HGM6120</w:t>
            </w:r>
            <w:r/>
          </w:p>
        </w:tc>
      </w:tr>
    </w:tbl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155"/>
        <w:gridCol w:w="4155"/>
      </w:tblGrid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Исполнение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в шумозащитном кожухе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Степень автоматизации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2-я (АВР)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Габариты (Д х Ш х В)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3000 х 1100 х 1550 мм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Вес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1777 кг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Расход топлива при 100% нагрузке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28,5 л/час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Топливный бак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300 л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Автономность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мин. 8 часов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Гарантия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top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333333"/>
                <w:sz w:val="21"/>
              </w:rPr>
              <w:t xml:space="preserve">2 года</w:t>
            </w:r>
            <w:r/>
          </w:p>
        </w:tc>
      </w:tr>
    </w:tbl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155"/>
        <w:gridCol w:w="4170"/>
      </w:tblGrid>
      <w:tr>
        <w:trPr/>
        <w:tc>
          <w:tcPr>
            <w:shd w:val="clear" w:color="6074bb" w:fill="6074bb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0" w:type="dxa"/>
              <w:top w:w="150" w:type="dxa"/>
              <w:right w:w="150" w:type="dxa"/>
              <w:bottom w:w="15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ffffff"/>
                <w:sz w:val="24"/>
              </w:rPr>
              <w:t xml:space="preserve">ДИЗЕЛЬНЫЙ ДВИГАТЕЛЬ</w:t>
            </w:r>
            <w:r/>
          </w:p>
        </w:tc>
        <w:tc>
          <w:tcPr>
            <w:shd w:val="clear" w:color="6074bb" w:fill="6074bb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0" w:type="dxa"/>
              <w:top w:w="150" w:type="dxa"/>
              <w:right w:w="150" w:type="dxa"/>
              <w:bottom w:w="150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ffffff"/>
                <w:sz w:val="24"/>
              </w:rPr>
              <w:t xml:space="preserve">RICARDO R6105AZLD</w:t>
            </w:r>
            <w:r/>
          </w:p>
        </w:tc>
      </w:tr>
      <w:tr>
        <w:trPr/>
        <w:tc>
          <w:tcPr>
            <w:gridSpan w:val="2"/>
            <w:shd w:val="clear" w:color="ffffff" w:fill="ffffff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05000" cy="1905000"/>
                      <wp:effectExtent l="0" t="0" r="0" b="0"/>
                      <wp:docPr id="2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89181731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04999" cy="190499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150.0pt;height:150.0pt;mso-wrap-distance-left:0.0pt;mso-wrap-distance-top:0.0pt;mso-wrap-distance-right:0.0pt;mso-wrap-distance-bottom:0.0pt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/>
          </w:p>
        </w:tc>
      </w:tr>
      <w:tr>
        <w:trPr/>
        <w:tc>
          <w:tcPr>
            <w:gridSpan w:val="2"/>
            <w:shd w:val="clear" w:color="b5cdf7" w:fill="b5cdf7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000000"/>
                <w:sz w:val="24"/>
              </w:rPr>
              <w:t xml:space="preserve">Технические характеристики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Постоянная мощность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110 кВт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Резервная мощность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121 кВт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Частота вращения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1500 об/мин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Объем двигателя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6,75 л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Количество и расположение цилиндров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6 цилиндров, рядное, вертикальное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Сухой вес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630 кг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Диаметр поршня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105 мм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Ход поршня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130 мм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Коэффициент сжатия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16:1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Скорость поршня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6,5 м/c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Среднее эффективное давление, BMEP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1,3 МПа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Порядок работы цилиндров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1-5-3-6-2-4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Регулировка частоты вращения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механическая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Точность регулировки частоты вращения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+/- 5%</w:t>
            </w:r>
            <w:r/>
          </w:p>
        </w:tc>
      </w:tr>
      <w:tr>
        <w:trPr/>
        <w:tc>
          <w:tcPr>
            <w:gridSpan w:val="2"/>
            <w:shd w:val="clear" w:color="b5cdf7" w:fill="b5cdf7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000000"/>
                <w:sz w:val="24"/>
              </w:rPr>
              <w:t xml:space="preserve">Топливная система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Дизельное топливо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ГОСТ 305-82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Модель топливного насоса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6-ти секционный, плунжерный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Тип топливного фильтра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полнопоточный со сменным картриджем</w:t>
            </w:r>
            <w:r/>
          </w:p>
        </w:tc>
      </w:tr>
      <w:tr>
        <w:trPr/>
        <w:tc>
          <w:tcPr>
            <w:gridSpan w:val="2"/>
            <w:shd w:val="clear" w:color="b5cdf7" w:fill="b5cdf7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000000"/>
                <w:sz w:val="24"/>
              </w:rPr>
              <w:t xml:space="preserve">Расход топлива при нагрузке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100%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28,5 л/ч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75%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23 л/ч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50%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16 л/ч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Удельный расход топлива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231 г/кВт*ч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Максимальная температура в топливопроводе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55 ºС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Максимальное давление в топливопроводе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1,8 бар</w:t>
            </w:r>
            <w:r/>
          </w:p>
        </w:tc>
      </w:tr>
      <w:tr>
        <w:trPr/>
        <w:tc>
          <w:tcPr>
            <w:gridSpan w:val="2"/>
            <w:shd w:val="clear" w:color="b5cdf7" w:fill="b5cdf7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000000"/>
                <w:sz w:val="24"/>
              </w:rPr>
              <w:t xml:space="preserve">Система смазки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Система смазки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комбинированная под давлением и разбрызгиванием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Тип масляного насоса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шестеренчатого типа, с приводом от распредвала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Тип масляного фильтра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полнопоточный патронный фильтр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Тип масла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SAE 15W40 / 10W30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Емкость масляной системы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18 л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Удельный расход масла на угар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1,63 г/кВт*ч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Максимальная температура масла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105 ºС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Давление масла в системе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3,0 - 6,5 бар</w:t>
            </w:r>
            <w:r/>
          </w:p>
        </w:tc>
      </w:tr>
      <w:tr>
        <w:trPr/>
        <w:tc>
          <w:tcPr>
            <w:gridSpan w:val="2"/>
            <w:shd w:val="clear" w:color="b5cdf7" w:fill="b5cdf7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000000"/>
                <w:sz w:val="24"/>
              </w:rPr>
              <w:t xml:space="preserve">Система охлаждения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Тип охлаждения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жидкостное (радиаторное), циркуляция под давлением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Тип охлаждающей жидкости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ГОСТ 28084-89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Емкость системы охлаждения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23 л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Максимальная температура охлаждающей жидкости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103 ºС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Водяной насос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центробежного типа с ременным приводом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Производительность водяного насоса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190 л/мин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Мощность вентилятора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4,5 кВт</w:t>
            </w:r>
            <w:r/>
          </w:p>
        </w:tc>
      </w:tr>
      <w:tr>
        <w:trPr/>
        <w:tc>
          <w:tcPr>
            <w:gridSpan w:val="2"/>
            <w:shd w:val="clear" w:color="b5cdf7" w:fill="b5cdf7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000000"/>
                <w:sz w:val="24"/>
              </w:rPr>
              <w:t xml:space="preserve">Система электрооборудования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Напряжение в системе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24 B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Пусковое устройство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стартер, 5,1 кВт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Максимальный ток зарядного генератора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50 А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Аккумуляторная батарея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2 х 12 В / 120 А*ч</w:t>
            </w:r>
            <w:r/>
          </w:p>
        </w:tc>
      </w:tr>
      <w:tr>
        <w:trPr/>
        <w:tc>
          <w:tcPr>
            <w:gridSpan w:val="2"/>
            <w:shd w:val="clear" w:color="b5cdf7" w:fill="b5cdf7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000000"/>
                <w:sz w:val="24"/>
              </w:rPr>
              <w:t xml:space="preserve">Система подачи воздуха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Тип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турбонаддув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Тип воздушного фильтра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фильтроэлемент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Максимальное сопротивление воздушного фильтра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6,2 кПа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Максимальное статическое сопротивление воздушному потоку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6 кПа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Расход воздуха вентилятора на охлаждение радиатора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180 м³/мин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Расход воздуха на питание двигателя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9,5 м³/мин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Минимальная площадь сечения вентиляционного отверстия для потока входящего воздуха на питание и охлаждение двигателя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 м²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Минимальная площадь сечения вентиляционного отверстия для исходящего потока воздуха от радиатора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 м²</w:t>
            </w:r>
            <w:r/>
          </w:p>
        </w:tc>
      </w:tr>
      <w:tr>
        <w:trPr/>
        <w:tc>
          <w:tcPr>
            <w:gridSpan w:val="2"/>
            <w:shd w:val="clear" w:color="b5cdf7" w:fill="b5cdf7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000000"/>
                <w:sz w:val="24"/>
              </w:rPr>
              <w:t xml:space="preserve">Система газовыхлопа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Температура выхлопных газов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600 ºС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Поток выхлопных газов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27 м³/ч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Тип глушителя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промышленный - 9 dB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Максимальное противодавление выхлопных газов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9,8 кПа</w:t>
            </w:r>
            <w:r/>
          </w:p>
        </w:tc>
      </w:tr>
      <w:tr>
        <w:trPr/>
        <w:tc>
          <w:tcPr>
            <w:gridSpan w:val="2"/>
            <w:shd w:val="clear" w:color="b5cdf7" w:fill="b5cdf7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000000"/>
                <w:sz w:val="24"/>
              </w:rPr>
              <w:t xml:space="preserve">Тепловые параметры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Общее тепловыделение ДГУ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186 кВт/ч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Система газовыхлопа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107 кВт/ч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Система охлаждения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64 кВт/ч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Корпус двигателя и альтернатора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15 кВт/ч</w:t>
            </w:r>
            <w:r/>
          </w:p>
        </w:tc>
      </w:tr>
    </w:tbl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155"/>
        <w:gridCol w:w="4170"/>
      </w:tblGrid>
      <w:tr>
        <w:trPr/>
        <w:tc>
          <w:tcPr>
            <w:shd w:val="clear" w:color="6074bb" w:fill="6074bb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0" w:type="dxa"/>
              <w:top w:w="150" w:type="dxa"/>
              <w:right w:w="150" w:type="dxa"/>
              <w:bottom w:w="15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ffffff"/>
                <w:sz w:val="24"/>
              </w:rPr>
              <w:t xml:space="preserve">СИНХРОННЫЙ ГЕНЕРАТОР</w:t>
            </w:r>
            <w:r/>
          </w:p>
        </w:tc>
        <w:tc>
          <w:tcPr>
            <w:shd w:val="clear" w:color="6074bb" w:fill="6074bb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0" w:type="dxa"/>
              <w:top w:w="150" w:type="dxa"/>
              <w:right w:w="150" w:type="dxa"/>
              <w:bottom w:w="150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ffffff"/>
                <w:sz w:val="24"/>
              </w:rPr>
              <w:t xml:space="preserve">Z274D</w:t>
            </w:r>
            <w:r/>
          </w:p>
        </w:tc>
      </w:tr>
      <w:tr>
        <w:trPr/>
        <w:tc>
          <w:tcPr>
            <w:gridSpan w:val="2"/>
            <w:shd w:val="clear" w:color="ffffff" w:fill="ffffff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905000" cy="1905000"/>
                      <wp:effectExtent l="0" t="0" r="0" b="0"/>
                      <wp:docPr id="3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04983655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04999" cy="190499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150.0pt;height:150.0pt;mso-wrap-distance-left:0.0pt;mso-wrap-distance-top:0.0pt;mso-wrap-distance-right:0.0pt;mso-wrap-distance-bottom:0.0pt;" stroked="false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/>
          </w:p>
        </w:tc>
      </w:tr>
      <w:tr>
        <w:trPr/>
        <w:tc>
          <w:tcPr>
            <w:gridSpan w:val="2"/>
            <w:shd w:val="clear" w:color="b5cdf7" w:fill="b5cdf7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000000"/>
                <w:sz w:val="24"/>
              </w:rPr>
              <w:t xml:space="preserve">Основные характеристики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Постоянная мощность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125 кВА / 100 кВт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Резервная мощность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137,5 кВА / 110 кВт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Напряжение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230 / 400 В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Частота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50 Гц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Вес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430 кг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Род тока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переменный, трехфазный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Номинальная сила тока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180 А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Количество полюсов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4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Коэффициент мощности COS Ф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0,8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КПД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90,6%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Тип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синхронный, бесщеточный, одноопорный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Система возбуждения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самовозбуждение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Регулировка напряжения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автоматическая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Класс защиты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IP 22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Класс изоляции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H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Количество выводов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12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Обмотка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2 / 3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Диапазон регулировки напряжения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+/- 5%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Нестабильность выходного напряжения в переходном режиме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+/- 1%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Нестабильность выходного напряжения в установившемся режиме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+/- 0,5%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Форма волны NEMA = TIF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&lt; 50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Форма волны I.E.C = THF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3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Максимальная скорость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2250 об/мин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Ток короткого замыкания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300% (10 с)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Диск крепления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SAE 3# / 11,5"</w:t>
            </w:r>
            <w:r/>
          </w:p>
        </w:tc>
      </w:tr>
    </w:tbl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155"/>
        <w:gridCol w:w="4170"/>
      </w:tblGrid>
      <w:tr>
        <w:trPr/>
        <w:tc>
          <w:tcPr>
            <w:shd w:val="clear" w:color="6074bb" w:fill="6074bb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0" w:type="dxa"/>
              <w:top w:w="150" w:type="dxa"/>
              <w:right w:w="150" w:type="dxa"/>
              <w:bottom w:w="15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ffffff"/>
                <w:sz w:val="24"/>
              </w:rPr>
              <w:t xml:space="preserve">ШКАФ УПРАВЛЕНИЯ</w:t>
            </w:r>
            <w:r/>
          </w:p>
        </w:tc>
        <w:tc>
          <w:tcPr>
            <w:shd w:val="clear" w:color="6074bb" w:fill="6074bb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0" w:type="dxa"/>
              <w:top w:w="150" w:type="dxa"/>
              <w:right w:w="150" w:type="dxa"/>
              <w:bottom w:w="150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ffffff"/>
                <w:sz w:val="24"/>
              </w:rPr>
              <w:t xml:space="preserve">ШУЭ 2Р200</w:t>
            </w:r>
            <w:r/>
          </w:p>
        </w:tc>
      </w:tr>
      <w:tr>
        <w:trPr/>
        <w:tc>
          <w:tcPr>
            <w:gridSpan w:val="2"/>
            <w:shd w:val="clear" w:color="b5cdf7" w:fill="b5cdf7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000000"/>
                <w:sz w:val="24"/>
              </w:rPr>
              <w:t xml:space="preserve">Основные характеристики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Панель управления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на базе контроллера HGM6120 c жидкокристаллическим монитором на русском языке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Автоматический выключатель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200 А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Автоматический ввод резерва (АВР) в комплекте с электрическим подогревателем охлаждающей жидкости и сетевым зарядным устройством аккумуляторных батарей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есть</w:t>
            </w:r>
            <w:r/>
          </w:p>
        </w:tc>
      </w:tr>
      <w:tr>
        <w:trPr/>
        <w:tc>
          <w:tcPr>
            <w:gridSpan w:val="2"/>
            <w:shd w:val="clear" w:color="b5cdf7" w:fill="b5cdf7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000000"/>
                <w:sz w:val="24"/>
              </w:rPr>
              <w:t xml:space="preserve">Функции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управление дизельным электроагрегатом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сигнализация предупреждений и аварий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подача напряжения на собственные нужды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вывод на ЖК дисплей значений основных параметров работы электроагрегата: частоты, напряжения, силы тока, скорости вращения двигателя, давления масла, температуры охлаждающей жидкости, наработки, количества запусков, выработанной электроэнергии, напряжени</w:t>
            </w: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я АКБ, пофазного напряжения сети, частоты сети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кнопка аварийного останова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контроль параметров основной сети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автоматический запуск при отклонении параметров основной сети от заданных значений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автоматическое отключение и перевод питания на основную сеть при восстановлении параметров основной сети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подзарядка аккумуляторных батарей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управление подогревателем охлаждающей жидкости</w:t>
            </w:r>
            <w:r/>
          </w:p>
        </w:tc>
      </w:tr>
    </w:tbl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155"/>
        <w:gridCol w:w="4170"/>
      </w:tblGrid>
      <w:tr>
        <w:trPr/>
        <w:tc>
          <w:tcPr>
            <w:shd w:val="clear" w:color="6074bb" w:fill="6074bb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0" w:type="dxa"/>
              <w:top w:w="150" w:type="dxa"/>
              <w:right w:w="150" w:type="dxa"/>
              <w:bottom w:w="150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ffffff"/>
                <w:sz w:val="24"/>
              </w:rPr>
              <w:t xml:space="preserve">ШУМОЗАЩИТНЫЙ КОЖУХ</w:t>
            </w:r>
            <w:r/>
          </w:p>
        </w:tc>
        <w:tc>
          <w:tcPr>
            <w:shd w:val="clear" w:color="6074bb" w:fill="6074bb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50" w:type="dxa"/>
              <w:top w:w="150" w:type="dxa"/>
              <w:right w:w="150" w:type="dxa"/>
              <w:bottom w:w="150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ffffff"/>
                <w:sz w:val="24"/>
              </w:rPr>
              <w:t xml:space="preserve">ВШК-100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Назначение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Эффективная защита от воздействия неблагоприятных факторов окружающей среды, защита от несанкционированного доступа, высокий уровень шумозащиты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Габариты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3000 х 1100 х 1550 мм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Вес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435 кг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Материал кожуха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сталь 2 мм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Уровень шума (7м)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50 дБ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Окраска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порошковая окраска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Условия экплуатации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эксплуатация вне помещения на открытом воздухе</w:t>
            </w:r>
            <w:r/>
          </w:p>
        </w:tc>
      </w:tr>
      <w:tr>
        <w:trPr/>
        <w:tc>
          <w:tcPr>
            <w:gridSpan w:val="2"/>
            <w:shd w:val="clear" w:color="b5cdf7" w:fill="b5cdf7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000000"/>
                <w:sz w:val="24"/>
              </w:rPr>
              <w:t xml:space="preserve">Температура окружающей среды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Для ДГУ по 1-й степени автоматизации</w:t>
            </w: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+5 ºС.....+40 ºС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Для ДГУ по 2-й степени автоматизации</w:t>
            </w: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-10 ºС.....+40 ºС</w:t>
            </w:r>
            <w:r/>
          </w:p>
        </w:tc>
      </w:tr>
      <w:tr>
        <w:trPr/>
        <w:tc>
          <w:tcPr>
            <w:gridSpan w:val="2"/>
            <w:shd w:val="clear" w:color="b5cdf7" w:fill="b5cdf7"/>
            <w:tcBorders>
              <w:top w:val="single" w:color="B5CDF7" w:sz="6" w:space="0"/>
              <w:left w:val="single" w:color="B5CDF7" w:sz="6" w:space="0"/>
              <w:bottom w:val="single" w:color="B5CDF7" w:sz="6" w:space="0"/>
              <w:right w:val="single" w:color="B5CDF7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832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Open Sans" w:hAnsi="Open Sans" w:eastAsia="Open Sans" w:cs="Open Sans"/>
                <w:b/>
                <w:color w:val="000000"/>
                <w:sz w:val="24"/>
              </w:rPr>
              <w:t xml:space="preserve">Характеристики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эстетичный современный дизайн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большие дверцы для обслуживания ДЭС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антивандальность (дверцы запираются на ключ)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решетки приточно-вытяжной вентиляции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вентиляционные дефлекторы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стеклянное окошко на дверце, закрывающей шкаф управления, для упрощения визульного контроля параметров ДГУ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штуцера слива технологических жидкостей выведенные наружу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наружная заливная горловина, закрывающаяся на ключ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установленная снаружи кнопка аварийного останова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выделенный отсек для глушителя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термоизоляция</w:t>
            </w:r>
            <w:r/>
          </w:p>
        </w:tc>
      </w:tr>
      <w:tr>
        <w:trPr/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f9f9f9" w:fill="f9f9f9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шумоизоляция</w:t>
            </w:r>
            <w:r/>
          </w:p>
        </w:tc>
      </w:tr>
      <w:tr>
        <w:trPr/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55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shd w:val="clear" w:color="e4e4e4" w:fill="e4e4e4"/>
            <w:tcBorders>
              <w:top w:val="single" w:color="EEEEEE" w:sz="6" w:space="0"/>
              <w:left w:val="single" w:color="EEEEEE" w:sz="6" w:space="0"/>
              <w:bottom w:val="single" w:color="EEEEEE" w:sz="6" w:space="0"/>
              <w:right w:val="single" w:color="EEEEEE" w:sz="6" w:space="0"/>
            </w:tcBorders>
            <w:tcMar>
              <w:left w:w="150" w:type="dxa"/>
              <w:top w:w="105" w:type="dxa"/>
              <w:right w:w="105" w:type="dxa"/>
              <w:bottom w:w="105" w:type="dxa"/>
            </w:tcMar>
            <w:tcW w:w="417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Open Sans" w:hAnsi="Open Sans" w:eastAsia="Open Sans" w:cs="Open Sans"/>
                <w:color w:val="000000"/>
                <w:sz w:val="24"/>
              </w:rPr>
              <w:t xml:space="preserve">- гидроизолция</w:t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599"/>
    <w:next w:val="59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599"/>
    <w:next w:val="59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599"/>
    <w:next w:val="59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599"/>
    <w:next w:val="59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599"/>
    <w:next w:val="59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599"/>
    <w:next w:val="59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599"/>
    <w:next w:val="59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599"/>
    <w:next w:val="59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599"/>
    <w:next w:val="59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599"/>
    <w:next w:val="59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599"/>
    <w:next w:val="59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599"/>
    <w:next w:val="59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599"/>
    <w:next w:val="59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59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59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599"/>
    <w:next w:val="5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0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59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59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599"/>
    <w:next w:val="59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599"/>
    <w:next w:val="59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599"/>
    <w:next w:val="59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599"/>
    <w:next w:val="59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599"/>
    <w:next w:val="59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599"/>
    <w:next w:val="59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599"/>
    <w:next w:val="59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599"/>
    <w:next w:val="59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599"/>
    <w:next w:val="59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599"/>
    <w:next w:val="599"/>
    <w:uiPriority w:val="99"/>
    <w:unhideWhenUsed/>
    <w:pPr>
      <w:spacing w:after="0" w:afterAutospacing="0"/>
    </w:pPr>
  </w:style>
  <w:style w:type="paragraph" w:styleId="599" w:default="1">
    <w:name w:val="Normal"/>
    <w:qFormat/>
  </w:style>
  <w:style w:type="table" w:styleId="6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1" w:default="1">
    <w:name w:val="No List"/>
    <w:uiPriority w:val="99"/>
    <w:semiHidden/>
    <w:unhideWhenUsed/>
  </w:style>
  <w:style w:type="paragraph" w:styleId="602">
    <w:name w:val="No Spacing"/>
    <w:basedOn w:val="599"/>
    <w:uiPriority w:val="1"/>
    <w:qFormat/>
    <w:pPr>
      <w:spacing w:after="0" w:line="240" w:lineRule="auto"/>
    </w:pPr>
  </w:style>
  <w:style w:type="paragraph" w:styleId="603">
    <w:name w:val="List Paragraph"/>
    <w:basedOn w:val="599"/>
    <w:uiPriority w:val="34"/>
    <w:qFormat/>
    <w:pPr>
      <w:contextualSpacing/>
      <w:ind w:left="720"/>
    </w:pPr>
  </w:style>
  <w:style w:type="character" w:styleId="608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image" Target="media/image2.jpg"/><Relationship Id="rId10" Type="http://schemas.openxmlformats.org/officeDocument/2006/relationships/image" Target="media/image3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2024-10-16T14:32:36Z</dcterms:modified>
</cp:coreProperties>
</file>